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6"/>
          <w:szCs w:val="26"/>
        </w:rPr>
        <w:t xml:space="preserve">TOUCHPOINT STRATEGY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18"/>
          <w:szCs w:val="18"/>
        </w:rPr>
        <w:t xml:space="preserve">PRIMARY AUDIENCE: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18"/>
          <w:szCs w:val="18"/>
        </w:rPr>
        <w:t xml:space="preserve">[ your audience ]</w:t>
      </w: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18"/>
          <w:szCs w:val="18"/>
        </w:rPr>
        <w:t xml:space="preserve">        AUTHOR: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18"/>
          <w:szCs w:val="18"/>
        </w:rPr>
        <w:t xml:space="preserve">[ your name ]</w:t>
      </w:r>
    </w:p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4"/>
          <w:szCs w:val="24"/>
        </w:rPr>
        <w:t xml:space="preserve">[ Capability or feature name ]</w:t>
      </w:r>
    </w:p>
    <w:p>
      <w:pPr>
        <w:spacing w:after="200"/>
      </w:pPr>
      <w:r>
        <w:rPr>
          <w:rFonts w:ascii="Calibri" w:cs="Calibri" w:eastAsia="Calibri" w:hAnsi="Calibri"/>
          <w:b w:val="false"/>
          <w:bCs w:val="false"/>
          <w:i/>
          <w:iCs/>
          <w:color w:val="6B6B75"/>
          <w:sz w:val="19"/>
          <w:szCs w:val="19"/>
        </w:rPr>
        <w:t xml:space="preserve">[ One line: what this capability lets the user do. ]</w:t>
      </w:r>
    </w:p>
    <w:p>
      <w:pPr>
        <w:pBdr>
          <w:left w:val="single" w:color="7D5C7E" w:sz="18" w:space="10"/>
        </w:pBdr>
        <w:spacing w:after="20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How to use this template.  </w:t>
      </w:r>
      <w:r>
        <w:rPr>
          <w:rFonts w:ascii="Calibri" w:cs="Calibri" w:eastAsia="Calibri" w:hAnsi="Calibri"/>
          <w:color w:val="222222"/>
          <w:sz w:val="18"/>
          <w:szCs w:val="18"/>
        </w:rPr>
        <w:t xml:space="preserve">Take one capability or feature. List every task it has to serve — the ones the user came for and the ones the business wants — and force-rank them into a single list (no ties). For each task, note the emotional state the person arrives in and should leave in, the design &amp; content approach that carries them between the two, and one success criterion written before the design exists. Replace the rows below.</w:t>
      </w:r>
    </w:p>
    <w:tbl>
      <w:tblPr>
        <w:tblW w:type="dxa" w:w="14400"/>
        <w:tblBorders>
          <w:top w:val="single" w:color="CFCBC9" w:sz="4"/>
          <w:left w:val="single" w:color="CFCBC9" w:sz="4"/>
          <w:bottom w:val="single" w:color="CFCBC9" w:sz="4"/>
          <w:right w:val="single" w:color="CFCBC9" w:sz="4"/>
          <w:insideH w:val="single" w:color="CFCBC9" w:sz="4"/>
          <w:insideV w:val="single" w:color="CFCBC9" w:sz="4"/>
        </w:tblBorders>
      </w:tblPr>
      <w:tblGrid>
        <w:gridCol w:w="640"/>
        <w:gridCol w:w="3150"/>
        <w:gridCol w:w="2150"/>
        <w:gridCol w:w="4250"/>
        <w:gridCol w:w="2900"/>
        <w:gridCol w:w="1310"/>
      </w:tblGrid>
      <w:tr>
        <w:trPr>
          <w:tblHeader/>
        </w:trPr>
        <w:tc>
          <w:tcPr>
            <w:tcW w:type="dxa" w:w="640"/>
            <w:shd w:fill="2B2B2B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Rank</w:t>
            </w:r>
          </w:p>
        </w:tc>
        <w:tc>
          <w:tcPr>
            <w:tcW w:type="dxa" w:w="3150"/>
            <w:shd w:fill="2B2B2B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The task</w:t>
            </w:r>
          </w:p>
        </w:tc>
        <w:tc>
          <w:tcPr>
            <w:tcW w:type="dxa" w:w="2150"/>
            <w:shd w:fill="2B2B2B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They are feeling…</w:t>
            </w:r>
          </w:p>
        </w:tc>
        <w:tc>
          <w:tcPr>
            <w:tcW w:type="dxa" w:w="4250"/>
            <w:shd w:fill="2B2B2B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Design &amp; content approach</w:t>
            </w:r>
          </w:p>
        </w:tc>
        <w:tc>
          <w:tcPr>
            <w:tcW w:type="dxa" w:w="2900"/>
            <w:shd w:fill="2B2B2B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Success criteria</w:t>
            </w:r>
          </w:p>
        </w:tc>
        <w:tc>
          <w:tcPr>
            <w:tcW w:type="dxa" w:w="1310"/>
            <w:shd w:fill="2B2B2B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Comments &amp; PoP</w:t>
            </w:r>
          </w:p>
        </w:tc>
      </w:tr>
      <w:tr>
        <w:tc>
          <w:tcPr>
            <w:tcW w:type="dxa" w:w="64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1</w:t>
            </w:r>
          </w:p>
        </w:tc>
        <w:tc>
          <w:tcPr>
            <w:tcW w:type="dxa" w:w="3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1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2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7"/>
                <w:szCs w:val="17"/>
              </w:rPr>
              <w:t xml:space="preserve"/>
            </w:r>
          </w:p>
        </w:tc>
        <w:tc>
          <w:tcPr>
            <w:tcW w:type="dxa" w:w="42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290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131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64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2</w:t>
            </w:r>
          </w:p>
        </w:tc>
        <w:tc>
          <w:tcPr>
            <w:tcW w:type="dxa" w:w="3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1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2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7"/>
                <w:szCs w:val="17"/>
              </w:rPr>
              <w:t xml:space="preserve"/>
            </w:r>
          </w:p>
        </w:tc>
        <w:tc>
          <w:tcPr>
            <w:tcW w:type="dxa" w:w="42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290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131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64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3</w:t>
            </w:r>
          </w:p>
        </w:tc>
        <w:tc>
          <w:tcPr>
            <w:tcW w:type="dxa" w:w="3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1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2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7"/>
                <w:szCs w:val="17"/>
              </w:rPr>
              <w:t xml:space="preserve"/>
            </w:r>
          </w:p>
        </w:tc>
        <w:tc>
          <w:tcPr>
            <w:tcW w:type="dxa" w:w="42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290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131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64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4</w:t>
            </w:r>
          </w:p>
        </w:tc>
        <w:tc>
          <w:tcPr>
            <w:tcW w:type="dxa" w:w="3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1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2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7"/>
                <w:szCs w:val="17"/>
              </w:rPr>
              <w:t xml:space="preserve"/>
            </w:r>
          </w:p>
        </w:tc>
        <w:tc>
          <w:tcPr>
            <w:tcW w:type="dxa" w:w="42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290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131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64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5</w:t>
            </w:r>
          </w:p>
        </w:tc>
        <w:tc>
          <w:tcPr>
            <w:tcW w:type="dxa" w:w="3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1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2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7"/>
                <w:szCs w:val="17"/>
              </w:rPr>
              <w:t xml:space="preserve"/>
            </w:r>
          </w:p>
        </w:tc>
        <w:tc>
          <w:tcPr>
            <w:tcW w:type="dxa" w:w="42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290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131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64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6</w:t>
            </w:r>
          </w:p>
        </w:tc>
        <w:tc>
          <w:tcPr>
            <w:tcW w:type="dxa" w:w="3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1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2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7"/>
                <w:szCs w:val="17"/>
              </w:rPr>
              <w:t xml:space="preserve"/>
            </w:r>
          </w:p>
        </w:tc>
        <w:tc>
          <w:tcPr>
            <w:tcW w:type="dxa" w:w="42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290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131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</w:tr>
    </w:tbl>
    <w:p>
      <w:pPr>
        <w:spacing w:before="1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B75"/>
          <w:sz w:val="15"/>
          <w:szCs w:val="15"/>
        </w:rPr>
        <w:t xml:space="preserve">[U] user-driven task  ·  [B] business-driven task.   Tasks are force-ranked into one list (no ties, except the identical task appearing on both sides).   Threshold codes: (A) set by past behaviour · (D) diagnostic / loss-of-sale survey · (F) set by future, expected behaviour.</w:t>
      </w:r>
    </w:p>
    <w:p>
      <w:pPr>
        <w:spacing w:before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B75"/>
          <w:sz w:val="15"/>
          <w:szCs w:val="15"/>
        </w:rPr>
        <w:t xml:space="preserve">© 2026 Richard Dalton. Free to use and adapt — please keep the attribution.</w:t>
      </w:r>
    </w:p>
    <w:sectPr>
      <w:pgSz w:w="15840" w:h="12240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2026-07-24T18:01:49.773Z</dcterms:created>
  <dcterms:modified xsi:type="dcterms:W3CDTF">2026-07-24T18:01:49.773Z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