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6"/>
          <w:szCs w:val="26"/>
        </w:rPr>
        <w:t xml:space="preserve">TOUCHPOINT STRATEGY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18"/>
          <w:szCs w:val="18"/>
        </w:rPr>
        <w:t xml:space="preserve">PRIMARY AUDIENCE: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18"/>
          <w:szCs w:val="18"/>
        </w:rPr>
        <w:t xml:space="preserve">Shoppers</w:t>
      </w: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18"/>
          <w:szCs w:val="18"/>
        </w:rPr>
        <w:t xml:space="preserve">        AUTHOR: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22222"/>
          <w:sz w:val="18"/>
          <w:szCs w:val="18"/>
        </w:rPr>
        <w:t xml:space="preserve">Richard Dalton</w:t>
      </w:r>
    </w:p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222222"/>
          <w:sz w:val="24"/>
          <w:szCs w:val="24"/>
        </w:rPr>
        <w:t xml:space="preserve">Item profile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i/>
          <w:iCs/>
          <w:color w:val="6B6B75"/>
          <w:sz w:val="19"/>
          <w:szCs w:val="19"/>
        </w:rPr>
        <w:t xml:space="preserve">This capability shows all relevant details about an item, allowing the shopper to make a decision and buy the item.</w:t>
      </w:r>
    </w:p>
    <w:tbl>
      <w:tblPr>
        <w:tblW w:type="dxa" w:w="14400"/>
        <w:tblBorders>
          <w:top w:val="single" w:color="CFCBC9" w:sz="4"/>
          <w:left w:val="single" w:color="CFCBC9" w:sz="4"/>
          <w:bottom w:val="single" w:color="CFCBC9" w:sz="4"/>
          <w:right w:val="single" w:color="CFCBC9" w:sz="4"/>
          <w:insideH w:val="single" w:color="CFCBC9" w:sz="4"/>
          <w:insideV w:val="single" w:color="CFCBC9" w:sz="4"/>
        </w:tblBorders>
      </w:tblPr>
      <w:tblGrid>
        <w:gridCol w:w="640"/>
        <w:gridCol w:w="3150"/>
        <w:gridCol w:w="2150"/>
        <w:gridCol w:w="4250"/>
        <w:gridCol w:w="2900"/>
        <w:gridCol w:w="1310"/>
      </w:tblGrid>
      <w:tr>
        <w:trPr>
          <w:tblHeader/>
        </w:trPr>
        <w:tc>
          <w:tcPr>
            <w:tcW w:type="dxa" w:w="64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Rank</w:t>
            </w:r>
          </w:p>
        </w:tc>
        <w:tc>
          <w:tcPr>
            <w:tcW w:type="dxa" w:w="315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The task</w:t>
            </w:r>
          </w:p>
        </w:tc>
        <w:tc>
          <w:tcPr>
            <w:tcW w:type="dxa" w:w="215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They are feeling…</w:t>
            </w:r>
          </w:p>
        </w:tc>
        <w:tc>
          <w:tcPr>
            <w:tcW w:type="dxa" w:w="425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Design &amp; content approach</w:t>
            </w:r>
          </w:p>
        </w:tc>
        <w:tc>
          <w:tcPr>
            <w:tcW w:type="dxa" w:w="290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Success criteria</w:t>
            </w:r>
          </w:p>
        </w:tc>
        <w:tc>
          <w:tcPr>
            <w:tcW w:type="dxa" w:w="1310"/>
            <w:shd w:fill="2B2B2B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Comments &amp; PoP</w:t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1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Buy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S2.01 Ready to buy &gt; Buy the item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[P] Buy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P1.01 Close the sale &gt; Buy the item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Research shows that 37% of shoppers buy more than one item, so allow shoppers to add items to a shopping cart and continue shopping as well as providing a “buy and checkout now” feature.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Percentage of users who add the item to their shopping cart should be &gt; 15% (threshold set by past behavior) (A)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This is the primary desired “Outcome”.</w:t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2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Get information on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S1.01 Research an item &gt; Get information on the item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details about the item including a text description, pictures, sizes, colors, etc.</w:t>
            </w:r>
          </w:p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Content: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Talk about the benefits of the product, not just physical descriptions. Talk about the product in use and show pictures of the product being used by real people/pets.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Loss of sale surveys should show that lack of relevant information or information formatting accounts for less than 5% of missed sales. (threshold set by past behavior) (D)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3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Find out how much the item costs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S1.02 Research an item &gt; Find out how much the item costs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prices for the item, including any configurations of the item (for size and color, etc.). Possibly include a currency converter for Canadian customers.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Loss of sale surveys should show that lack of price information or formatting accounts for less than 5% of missed sales. (threshold set by past behavior) (D)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Approx. 4 comments / month regarding US vs. Canadian currency questions.</w:t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4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See if other people like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S1.04 Research an item &gt; See if other people like the item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Shoppers may feel mistrustful about whether the reviews shown are truly unbiased.</w:t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customer ratings and reviews. Allow reviewers to tag their review with pros and cons and attach images of their pets using the item.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Loss of sale surveys should show that lack of customer reviews or formatting accounts for less than 5% of missed sales. (threshold set by past behavior) (D)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5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Find out shipping costs and times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S2.02 Ready to buy &gt; Find out shipping costs and times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Shoppers may feel a sense of urgency if they need the item quickly.</w:t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shipping costs and times.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Loss of sale surveys should show that lack of shipping info or formatting accounts for less than 5% of missed sales. (threshold set by past behavior) (D)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6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Compare the item to others like it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S1.03 Research an item &gt; Compare the item to others like it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Shoppers are commonly fearful or unsure that they have chosen the best product for their needs and want to “comparison shop” the price and/or features of several products.</w:t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recently viewed items and provide access to a “compare to similar items” tool.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The ratio of users looking at recently viewed items via the in-page navigation vs. first pogo-sticking back to the gallery page should be 20:1 (threshold set by future, expected behavior) (F)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7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[P] Believe that the site is safe &amp; secure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P3.01 Trust Us &gt; Believe that the site is safe &amp; secure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Shoppers may feel nervous about buying online with their credit card.</w:t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security certificates.</w:t>
            </w:r>
          </w:p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Content: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Use language throughout that supports a “safe” online shopping experience.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Loss of sale surveys should show that security concerns account for less than 5% of missed sales. (threshold set by past behavior) (D)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8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Find out how to pay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S2.03 Ready to buy &gt; Find out how to pay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payment methods (credit card, paypal, etc.)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Loss of sale surveys should show that lack of payment info or formatting accounts for less than 5% of missed sales. (threshold set by past behavior) (D)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9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Save the item to look at later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S1.05 Research an item &gt; Save the item to look at later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Shoppers may feel undecided about buying the item (do they need to talk to someone else? To see more items? Are they considering buying it at another site or shop?)</w:t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Provide a “save for later” or “email this to me” feature.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Users of this feature should have a higher return and purchase rate than those who don’t use it.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Questionable whether this is a needed feature. Try to evaluate that through a success criteria rather than evaluating an effective implementation.</w:t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10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See related items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S1.07 Research an item &gt; See related items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[P] See related items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P2.01 Cross-sell &gt; See related items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Show related items or accessories.</w:t>
            </w:r>
          </w:p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Content: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Use “people who liked this also liked this” social-proof language to encourage cross-product exploration.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The ratio of users looking at similar items via the in-page navigation vs. first pogo-sticking back to the gallery page should be 20:1 (threshold set by future, expected behavior) (F)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11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Print details about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S1.06 Research an item &gt; Print details about the item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Provide a printer-friendly view.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Temporary: A/B test two versions of the printer friendly entry point (link vs. button)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64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12</w:t>
            </w:r>
          </w:p>
        </w:tc>
        <w:tc>
          <w:tcPr>
            <w:tcW w:type="dxa" w:w="3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[S] Tell a friend about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S3.01 Tell others &gt; Tell a friend about the item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  <w:p>
            <w:pPr>
              <w:spacing w:after="1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[P] Tell other people about the item</w:t>
            </w:r>
          </w:p>
          <w:p>
            <w:pPr>
              <w:spacing w:after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4"/>
                <w:szCs w:val="14"/>
              </w:rPr>
              <w:t xml:space="preserve">P4.02 Spread the word &gt; Tell other people about the item</w:t>
            </w:r>
          </w:p>
        </w:tc>
        <w:tc>
          <w:tcPr>
            <w:tcW w:type="dxa" w:w="21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6B75"/>
                <w:sz w:val="17"/>
                <w:szCs w:val="17"/>
              </w:rPr>
              <w:t xml:space="preserve"/>
            </w:r>
          </w:p>
        </w:tc>
        <w:tc>
          <w:tcPr>
            <w:tcW w:type="dxa" w:w="425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22222"/>
                <w:sz w:val="17"/>
                <w:szCs w:val="17"/>
              </w:rPr>
              <w:t xml:space="preserve">Design: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Provide functionality to share the item profile with friends through email, twitter, facebook, etc.</w:t>
            </w:r>
          </w:p>
        </w:tc>
        <w:tc>
          <w:tcPr>
            <w:tcW w:type="dxa" w:w="290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>Percentage of users who use the “tell a friend” functionality should be &gt; 7% (threshold set by past behavior) (A)</w:t>
            </w:r>
          </w:p>
        </w:tc>
        <w:tc>
          <w:tcPr>
            <w:tcW w:type="dxa" w:w="1310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4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22222"/>
                <w:sz w:val="17"/>
                <w:szCs w:val="17"/>
              </w:rPr>
              <w:t xml:space="preserve"/>
            </w:r>
          </w:p>
        </w:tc>
      </w:tr>
    </w:tbl>
    <w:p>
      <w:pPr>
        <w:spacing w:before="1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5"/>
          <w:sz w:val="15"/>
          <w:szCs w:val="15"/>
        </w:rPr>
        <w:t xml:space="preserve">[U] user-driven task  ·  [B] business-driven task.   Tasks are force-ranked into one list (no ties, except the identical task appearing on both sides).   Threshold codes: (A) set by past behaviour · (D) diagnostic / loss-of-sale survey · (F) set by future, expected behaviour.</w:t>
      </w:r>
    </w:p>
    <w:p>
      <w:pPr>
        <w:spacing w:before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6B75"/>
          <w:sz w:val="15"/>
          <w:szCs w:val="15"/>
        </w:rPr>
        <w:t xml:space="preserve">© 2026 Richard Dalton. Free to use and adapt — please keep the attribution.</w:t>
      </w:r>
    </w:p>
    <w:sectPr>
      <w:pgSz w:w="15840" w:h="12240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2026-07-24T18:01:49.768Z</dcterms:created>
  <dcterms:modified xsi:type="dcterms:W3CDTF">2026-07-24T18:01:49.768Z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