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sz w:val="28"/>
          <w:szCs w:val="28"/>
        </w:rPr>
        <w:t>TOUCHPOINT STRATEGY — DESIGNER VIEW</w:t>
      </w:r>
      <w:r>
        <w:rPr>
          <w:rFonts w:ascii="Calibri" w:cs="Calibri" w:eastAsia="Calibri" w:hAnsi="Calibri"/>
          <w:color w:val="666666"/>
          <w:sz w:val="18"/>
          <w:szCs w:val="18"/>
        </w:rPr>
        <w:t xml:space="preserve">    LAST UPDATED: 24 July 2026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18"/>
          <w:szCs w:val="18"/>
        </w:rPr>
        <w:t xml:space="preserve">PRIMARY AUDIENCE: </w:t>
      </w:r>
      <w:r>
        <w:rPr>
          <w:rFonts w:ascii="Calibri" w:cs="Calibri" w:eastAsia="Calibri" w:hAnsi="Calibri"/>
          <w:sz w:val="18"/>
          <w:szCs w:val="18"/>
        </w:rPr>
        <w:t>Designers</w:t>
      </w:r>
      <w:r>
        <w:rPr>
          <w:rFonts w:ascii="Calibri" w:cs="Calibri" w:eastAsia="Calibri" w:hAnsi="Calibri"/>
          <w:b/>
          <w:bCs/>
          <w:sz w:val="18"/>
          <w:szCs w:val="18"/>
        </w:rPr>
        <w:t xml:space="preserve">    AUTHOR: </w:t>
      </w:r>
      <w:r>
        <w:rPr>
          <w:rFonts w:ascii="Calibri" w:cs="Calibri" w:eastAsia="Calibri" w:hAnsi="Calibri"/>
          <w:sz w:val="18"/>
          <w:szCs w:val="18"/>
        </w:rPr>
        <w:t xml:space="preserve">Richard Dalton</w:t>
      </w:r>
      <w:r>
        <w:rPr>
          <w:rFonts w:ascii="Calibri" w:cs="Calibri" w:eastAsia="Calibri" w:hAnsi="Calibri"/>
          <w:b/>
          <w:bCs/>
          <w:sz w:val="18"/>
          <w:szCs w:val="18"/>
        </w:rPr>
        <w:t xml:space="preserve">    TOUCHPOINT: </w:t>
      </w:r>
      <w:r>
        <w:rPr>
          <w:rFonts w:ascii="Calibri" w:cs="Calibri" w:eastAsia="Calibri" w:hAnsi="Calibri"/>
          <w:sz w:val="18"/>
          <w:szCs w:val="18"/>
        </w:rPr>
        <w:t xml:space="preserve">TSD Website</w:t>
      </w:r>
    </w:p>
    <w:p>
      <w:pPr>
        <w:spacing w:after="120"/>
      </w:pPr>
      <w:r>
        <w:rPr>
          <w:rFonts w:ascii="Calibri" w:cs="Calibri" w:eastAsia="Calibri" w:hAnsi="Calibri"/>
          <w:i/>
          <w:iCs/>
          <w:sz w:val="18"/>
          <w:szCs w:val="18"/>
        </w:rPr>
        <w:t>This site helps designers understand what their job becomes in an AI world — converting that understanding into talks, advocacy and an audience.</w:t>
      </w:r>
    </w:p>
    <w:p>
      <w:pPr>
        <w:spacing w:after="160"/>
      </w:pPr>
      <w:r>
        <w:rPr>
          <w:rFonts w:ascii="Calibri" w:cs="Calibri" w:eastAsia="Calibri" w:hAnsi="Calibri"/>
          <w:color w:val="666666"/>
          <w:sz w:val="15"/>
          <w:szCs w:val="15"/>
        </w:rPr>
        <w:t>Tags: [UD] user-designer  ·  [BD] business-designer.   Tasks are force-ranked 1–14.   (F) = threshold set by future, expected behaviour.</w:t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600"/>
        <w:gridCol w:w="2400"/>
        <w:gridCol w:w="4600"/>
        <w:gridCol w:w="2700"/>
        <w:gridCol w:w="1600"/>
      </w:tblGrid>
      <w:tr>
        <w:trPr>
          <w:cantSplit/>
          <w:tblHeader/>
        </w:trPr>
        <w:tc>
          <w:tcPr>
            <w:tcW w:type="dxa" w:w="500"/>
            <w:shd w:fill="D9D9D9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#</w:t>
            </w:r>
          </w:p>
        </w:tc>
        <w:tc>
          <w:tcPr>
            <w:tcW w:type="dxa" w:w="2600"/>
            <w:shd w:fill="D9D9D9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Visitor wants to… / Richard wants them to…</w:t>
            </w:r>
          </w:p>
        </w:tc>
        <w:tc>
          <w:tcPr>
            <w:tcW w:type="dxa" w:w="2400"/>
            <w:shd w:fill="D9D9D9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They are feeling…</w:t>
            </w:r>
          </w:p>
        </w:tc>
        <w:tc>
          <w:tcPr>
            <w:tcW w:type="dxa" w:w="4600"/>
            <w:shd w:fill="D9D9D9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Design &amp; content approach</w:t>
            </w:r>
          </w:p>
        </w:tc>
        <w:tc>
          <w:tcPr>
            <w:tcW w:type="dxa" w:w="2700"/>
            <w:shd w:fill="D9D9D9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Success criteria</w:t>
            </w:r>
          </w:p>
        </w:tc>
        <w:tc>
          <w:tcPr>
            <w:tcW w:type="dxa" w:w="1600"/>
            <w:shd w:fill="D9D9D9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 xml:space="preserve">Comments &amp; PoP</w:t>
            </w:r>
          </w:p>
        </w:tc>
      </w:tr>
      <w:tr>
        <w:trPr>
          <w:cantSplit/>
          <w:cantSplit/>
        </w:trPr>
        <w:tc>
          <w:tcPr>
            <w:tcW w:type="dxa" w:w="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>1</w:t>
            </w:r>
          </w:p>
        </w:tc>
        <w:tc>
          <w:tcPr>
            <w:tcW w:type="dxa" w:w="2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[UD] </w:t>
            </w:r>
            <w:r>
              <w:rPr>
                <w:rFonts w:ascii="Calibri" w:cs="Calibri" w:eastAsia="Calibri" w:hAnsi="Calibri"/>
                <w:sz w:val="16"/>
                <w:szCs w:val="16"/>
              </w:rPr>
              <w:t xml:space="preserve">Understand my (designer) role vs. other roles (prod mgr, dev)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66666"/>
                <w:sz w:val="14"/>
                <w:szCs w:val="14"/>
              </w:rPr>
              <w:t xml:space="preserve">Cluster A — Designer reframe</w:t>
            </w:r>
          </w:p>
        </w:tc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Confused, worried, defensive. Must leave confident they can still add value.</w:t>
            </w:r>
          </w:p>
        </w:tc>
        <w:tc>
          <w:tcPr>
            <w:tcW w:type="dxa" w:w="4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Design:</w:t>
            </w:r>
            <w:r>
              <w:rPr>
                <w:rFonts w:ascii="Calibri" w:cs="Calibri" w:eastAsia="Calibri" w:hAnsi="Calibri"/>
                <w:sz w:val="16"/>
                <w:szCs w:val="16"/>
              </w:rPr>
              <w:t xml:space="preserve"> Open with the four-layer model (Who / Why / What / How) as the primary visual, letting the designer locate their own work on it. One continuous scrolling narrative rather than a nav item, so the emotional sequence is enforced.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Content:</w:t>
            </w:r>
            <w:r>
              <w:rPr>
                <w:rFonts w:ascii="Calibri" w:cs="Calibri" w:eastAsia="Calibri" w:hAnsi="Calibri"/>
                <w:sz w:val="16"/>
                <w:szCs w:val="16"/>
              </w:rPr>
              <w:t xml:space="preserve"> Name the fear explicitly before answering it. A defensive reader treats unearned optimism as a sales pitch. Avoid "AI won’t replace you, but a designer using AI will" — it reads as a threat.</w:t>
            </w:r>
          </w:p>
        </w:tc>
        <w:tc>
          <w:tcPr>
            <w:tcW w:type="dxa" w:w="27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More than 60% of first-time designer visitors scroll past the four-layer model section. (threshold set by future, expected behaviour) (F)</w:t>
            </w:r>
          </w:p>
        </w:tc>
        <w:tc>
          <w:tcPr>
            <w:tcW w:type="dxa" w:w="1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Rank #1 overall and the site’s front door. Everything downstream depends on the defensiveness breaking here.</w:t>
            </w:r>
          </w:p>
        </w:tc>
      </w:tr>
      <w:tr>
        <w:trPr>
          <w:cantSplit/>
          <w:cantSplit/>
        </w:trPr>
        <w:tc>
          <w:tcPr>
            <w:tcW w:type="dxa" w:w="500"/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>2</w:t>
            </w:r>
          </w:p>
        </w:tc>
        <w:tc>
          <w:tcPr>
            <w:tcW w:type="dxa" w:w="2600"/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[BD] </w:t>
            </w:r>
            <w:r>
              <w:rPr>
                <w:rFonts w:ascii="Calibri" w:cs="Calibri" w:eastAsia="Calibri" w:hAnsi="Calibri"/>
                <w:sz w:val="16"/>
                <w:szCs w:val="16"/>
              </w:rPr>
              <w:t xml:space="preserve">Understand AI (now &amp; future) — what it can do and what it can’t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66666"/>
                <w:sz w:val="14"/>
                <w:szCs w:val="14"/>
              </w:rPr>
              <w:t xml:space="preserve">Cluster A — Designer reframe</w:t>
            </w:r>
          </w:p>
        </w:tc>
        <w:tc>
          <w:tcPr>
            <w:tcW w:type="dxa" w:w="2400"/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No arriving emotion (business-driven). Must leave reassured that AI isn’t good at everything.</w:t>
            </w:r>
          </w:p>
        </w:tc>
        <w:tc>
          <w:tcPr>
            <w:tcW w:type="dxa" w:w="4600"/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Design:</w:t>
            </w:r>
            <w:r>
              <w:rPr>
                <w:rFonts w:ascii="Calibri" w:cs="Calibri" w:eastAsia="Calibri" w:hAnsi="Calibri"/>
                <w:sz w:val="16"/>
                <w:szCs w:val="16"/>
              </w:rPr>
              <w:t xml:space="preserve"> Present capability as a boundary, not a hype list — two columns: what it does well / where it fails.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Content:</w:t>
            </w:r>
            <w:r>
              <w:rPr>
                <w:rFonts w:ascii="Calibri" w:cs="Calibri" w:eastAsia="Calibri" w:hAnsi="Calibri"/>
                <w:sz w:val="16"/>
                <w:szCs w:val="16"/>
              </w:rPr>
              <w:t xml:space="preserve"> Use concrete, dated examples so the boundary is credible and visibly maintained. Show real failure cases from design work, not generic limitations.</w:t>
            </w:r>
          </w:p>
        </w:tc>
        <w:tc>
          <w:tcPr>
            <w:tcW w:type="dxa" w:w="2700"/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Fewer than 5% of feedback submissions characterise the site as "AI hype". (F)</w:t>
            </w:r>
          </w:p>
        </w:tc>
        <w:tc>
          <w:tcPr>
            <w:tcW w:type="dxa" w:w="1600"/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Business-driven: Richard needs the reader to hold this view for the rest of the argument to land.</w:t>
            </w:r>
          </w:p>
        </w:tc>
      </w:tr>
      <w:tr>
        <w:trPr>
          <w:cantSplit/>
          <w:cantSplit/>
        </w:trPr>
        <w:tc>
          <w:tcPr>
            <w:tcW w:type="dxa" w:w="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>3</w:t>
            </w:r>
          </w:p>
        </w:tc>
        <w:tc>
          <w:tcPr>
            <w:tcW w:type="dxa" w:w="2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[BD] </w:t>
            </w:r>
            <w:r>
              <w:rPr>
                <w:rFonts w:ascii="Calibri" w:cs="Calibri" w:eastAsia="Calibri" w:hAnsi="Calibri"/>
                <w:sz w:val="16"/>
                <w:szCs w:val="16"/>
              </w:rPr>
              <w:t xml:space="preserve">Understand the design process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66666"/>
                <w:sz w:val="14"/>
                <w:szCs w:val="14"/>
              </w:rPr>
              <w:t xml:space="preserve">Cluster A — Designer reframe</w:t>
            </w:r>
          </w:p>
        </w:tc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No arriving emotion. Must leave validated and empowered.</w:t>
            </w:r>
          </w:p>
        </w:tc>
        <w:tc>
          <w:tcPr>
            <w:tcW w:type="dxa" w:w="4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Design:</w:t>
            </w:r>
            <w:r>
              <w:rPr>
                <w:rFonts w:ascii="Calibri" w:cs="Calibri" w:eastAsia="Calibri" w:hAnsi="Calibri"/>
                <w:sz w:val="16"/>
                <w:szCs w:val="16"/>
              </w:rPr>
              <w:t xml:space="preserve"> Map the design process against the four layers so the reader sees which stages compress and which survive.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Content:</w:t>
            </w:r>
            <w:r>
              <w:rPr>
                <w:rFonts w:ascii="Calibri" w:cs="Calibri" w:eastAsia="Calibri" w:hAnsi="Calibri"/>
                <w:sz w:val="16"/>
                <w:szCs w:val="16"/>
              </w:rPr>
              <w:t xml:space="preserve"> Validate existing craft explicitly — the opportunity-space work they already do is the valuable half. Empowerment comes from being told their instincts were right, not from being taught something new.</w:t>
            </w:r>
          </w:p>
        </w:tc>
        <w:tc>
          <w:tcPr>
            <w:tcW w:type="dxa" w:w="27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More than 50% of designers who reach this section continue to the opportunity section (task 4). (F)</w:t>
            </w:r>
          </w:p>
        </w:tc>
        <w:tc>
          <w:tcPr>
            <w:tcW w:type="dxa" w:w="1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"Validated" is the key emotion — this is where a skeptical designer decides Richard is on their side.</w:t>
            </w:r>
          </w:p>
        </w:tc>
      </w:tr>
      <w:tr>
        <w:trPr>
          <w:cantSplit/>
          <w:cantSplit/>
        </w:trPr>
        <w:tc>
          <w:tcPr>
            <w:tcW w:type="dxa" w:w="500"/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>4</w:t>
            </w:r>
          </w:p>
        </w:tc>
        <w:tc>
          <w:tcPr>
            <w:tcW w:type="dxa" w:w="2600"/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[BD] </w:t>
            </w:r>
            <w:r>
              <w:rPr>
                <w:rFonts w:ascii="Calibri" w:cs="Calibri" w:eastAsia="Calibri" w:hAnsi="Calibri"/>
                <w:sz w:val="16"/>
                <w:szCs w:val="16"/>
              </w:rPr>
              <w:t xml:space="preserve">Understand the opportunities for humans vs. AI in the design process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66666"/>
                <w:sz w:val="14"/>
                <w:szCs w:val="14"/>
              </w:rPr>
              <w:t xml:space="preserve">Cluster A — Designer reframe</w:t>
            </w:r>
          </w:p>
        </w:tc>
        <w:tc>
          <w:tcPr>
            <w:tcW w:type="dxa" w:w="2400"/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No arriving emotion. Must leave excited by the possibilities.</w:t>
            </w:r>
          </w:p>
        </w:tc>
        <w:tc>
          <w:tcPr>
            <w:tcW w:type="dxa" w:w="4600"/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Design:</w:t>
            </w:r>
            <w:r>
              <w:rPr>
                <w:rFonts w:ascii="Calibri" w:cs="Calibri" w:eastAsia="Calibri" w:hAnsi="Calibri"/>
                <w:sz w:val="16"/>
                <w:szCs w:val="16"/>
              </w:rPr>
              <w:t xml:space="preserve"> Show the opportunity space concretely — the upper layers of the model with real examples of work only humans can do.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Content:</w:t>
            </w:r>
            <w:r>
              <w:rPr>
                <w:rFonts w:ascii="Calibri" w:cs="Calibri" w:eastAsia="Calibri" w:hAnsi="Calibri"/>
                <w:sz w:val="16"/>
                <w:szCs w:val="16"/>
              </w:rPr>
              <w:t xml:space="preserve"> Excitement comes from specificity, not exhortation. Show the new work; don’t promise it.</w:t>
            </w:r>
          </w:p>
        </w:tc>
        <w:tc>
          <w:tcPr>
            <w:tcW w:type="dxa" w:w="2700"/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>More than 30% of designers reaching this section proceed to the deliverable section (task 5). (F)</w:t>
            </w:r>
          </w:p>
        </w:tc>
        <w:tc>
          <w:tcPr>
            <w:tcW w:type="dxa" w:w="1600"/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>Emotional peak of the designer path. The conversion ask comes later — the talk ask (task 9) after the practice block; workshop registration (task 10) is held.</w:t>
            </w:r>
          </w:p>
        </w:tc>
      </w:tr>
      <w:tr>
        <w:trPr>
          <w:cantSplit/>
          <w:cantSplit/>
        </w:trPr>
        <w:tc>
          <w:tcPr>
            <w:tcW w:type="dxa" w:w="500"/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>5</w:t>
            </w:r>
          </w:p>
        </w:tc>
        <w:tc>
          <w:tcPr>
            <w:tcW w:type="dxa" w:w="2600"/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[BD] </w:t>
            </w:r>
            <w:r>
              <w:rPr>
                <w:rFonts w:ascii="Calibri" w:cs="Calibri" w:eastAsia="Calibri" w:hAnsi="Calibri"/>
                <w:sz w:val="16"/>
                <w:szCs w:val="16"/>
              </w:rPr>
              <w:t xml:space="preserve">Understand what a touchpoint strategy document is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66666"/>
                <w:sz w:val="14"/>
                <w:szCs w:val="14"/>
              </w:rPr>
              <w:t xml:space="preserve">Cluster C — The deliverable &amp; designer practice</w:t>
            </w:r>
          </w:p>
        </w:tc>
        <w:tc>
          <w:tcPr>
            <w:tcW w:type="dxa" w:w="2400"/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No arriving emotion (business-driven). Must leave clear on what they would actually produce — and feeling it is a document they could write on Monday, not a new discipline.</w:t>
            </w:r>
          </w:p>
        </w:tc>
        <w:tc>
          <w:tcPr>
            <w:tcW w:type="dxa" w:w="4600"/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Design:</w:t>
            </w:r>
            <w:r>
              <w:rPr>
                <w:rFonts w:ascii="Calibri" w:cs="Calibri" w:eastAsia="Calibri" w:hAnsi="Calibri"/>
                <w:sz w:val="16"/>
                <w:szCs w:val="16"/>
              </w:rPr>
              <w:t xml:space="preserve"> Show the artefact itself, on screen, before the demo shows what it produces. A real touchpoint strategy — the actual columns, a few force-ranked rows with their emotional state and success criteria. Keep it small and readable at a glance: one capability, a handful of rows, not the full document.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Content:</w:t>
            </w:r>
            <w:r>
              <w:rPr>
                <w:rFonts w:ascii="Calibri" w:cs="Calibri" w:eastAsia="Calibri" w:hAnsi="Calibri"/>
                <w:sz w:val="16"/>
                <w:szCs w:val="16"/>
              </w:rPr>
              <w:t xml:space="preserve"> Explain the three things that make it different from a PRD: user-driven and business-driven tasks force-ranked into one list with no ties; emotion attached because people are not machines working through a checklist — the same task approached anxious and approached confident needs two different designs; and success criteria per task, not one number for the page, written before the design exists. Emphasise that it is short — the intimidation risk is making it look like a new discipline rather than a one-page debate.</w:t>
            </w:r>
          </w:p>
        </w:tc>
        <w:tc>
          <w:tcPr>
            <w:tcW w:type="dxa" w:w="2700"/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>More than 50% of designers who reach this section continue to the proof demo (task 6). (F)</w:t>
            </w:r>
          </w:p>
        </w:tc>
        <w:tc>
          <w:tcPr>
            <w:tcW w:type="dxa" w:w="1600"/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>Added 2026-07-20. Without it the site introduces a methodology and never shows its artefact — the demo proves a document made the difference without ever showing what one contains.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>STATUS (24 Jul 2026): Also served by the ‘About this page’ section — the whole page is a live TSD, which reinforces what one is.</w:t>
            </w:r>
          </w:p>
        </w:tc>
      </w:tr>
      <w:tr>
        <w:trPr>
          <w:cantSplit/>
          <w:cantSplit/>
        </w:trPr>
        <w:tc>
          <w:tcPr>
            <w:tcW w:type="dxa" w:w="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>6</w:t>
            </w:r>
          </w:p>
        </w:tc>
        <w:tc>
          <w:tcPr>
            <w:tcW w:type="dxa" w:w="2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[UD] </w:t>
            </w:r>
            <w:r>
              <w:rPr>
                <w:rFonts w:ascii="Calibri" w:cs="Calibri" w:eastAsia="Calibri" w:hAnsi="Calibri"/>
                <w:sz w:val="16"/>
                <w:szCs w:val="16"/>
              </w:rPr>
              <w:t xml:space="preserve">Learn new techniques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66666"/>
                <w:sz w:val="14"/>
                <w:szCs w:val="14"/>
              </w:rPr>
              <w:t xml:space="preserve">Cluster C — The deliverable &amp; designer practice</w:t>
            </w:r>
          </w:p>
        </w:tc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Apprehensive, skeptical. Must leave confident and eager to try for real.</w:t>
            </w:r>
          </w:p>
        </w:tc>
        <w:tc>
          <w:tcPr>
            <w:tcW w:type="dxa" w:w="4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Design:</w:t>
            </w:r>
            <w:r>
              <w:rPr>
                <w:rFonts w:ascii="Calibri" w:cs="Calibri" w:eastAsia="Calibri" w:hAnsi="Calibri"/>
                <w:sz w:val="16"/>
                <w:szCs w:val="16"/>
              </w:rPr>
              <w:t xml:space="preserve"> Lead with the side-by-side demo: AI output without a TSD (generic slop) vs. with one (task-mapped, emotionally aware). Skepticism dies on contact with a working example, not an argument.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Content:</w:t>
            </w:r>
            <w:r>
              <w:rPr>
                <w:rFonts w:ascii="Calibri" w:cs="Calibri" w:eastAsia="Calibri" w:hAnsi="Calibri"/>
                <w:sz w:val="16"/>
                <w:szCs w:val="16"/>
              </w:rPr>
              <w:t xml:space="preserve"> Show the actual document and the actual output. Demonstrate the method rather than describing it.</w:t>
            </w:r>
          </w:p>
        </w:tc>
        <w:tc>
          <w:tcPr>
            <w:tcW w:type="dxa" w:w="27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>More than 40% of designers reaching this section go on to download materials (task 7). (F)</w:t>
            </w:r>
          </w:p>
        </w:tc>
        <w:tc>
          <w:tcPr>
            <w:tcW w:type="dxa" w:w="1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The single highest-leverage asset on the site — this is the keynote’s proof moment made interactive.</w:t>
            </w:r>
          </w:p>
        </w:tc>
      </w:tr>
      <w:tr>
        <w:trPr>
          <w:cantSplit/>
          <w:cantSplit/>
        </w:trPr>
        <w:tc>
          <w:tcPr>
            <w:tcW w:type="dxa" w:w="500"/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>7</w:t>
            </w:r>
          </w:p>
        </w:tc>
        <w:tc>
          <w:tcPr>
            <w:tcW w:type="dxa" w:w="2600"/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[UD] </w:t>
            </w:r>
            <w:r>
              <w:rPr>
                <w:rFonts w:ascii="Calibri" w:cs="Calibri" w:eastAsia="Calibri" w:hAnsi="Calibri"/>
                <w:sz w:val="16"/>
                <w:szCs w:val="16"/>
              </w:rPr>
              <w:t xml:space="preserve">Get any relevant materials (templates, etc.)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66666"/>
                <w:sz w:val="14"/>
                <w:szCs w:val="14"/>
              </w:rPr>
              <w:t xml:space="preserve">Cluster C — The deliverable &amp; designer practice</w:t>
            </w:r>
          </w:p>
        </w:tc>
        <w:tc>
          <w:tcPr>
            <w:tcW w:type="dxa" w:w="2400"/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Largely transactional — no real emotional charge.</w:t>
            </w:r>
          </w:p>
        </w:tc>
        <w:tc>
          <w:tcPr>
            <w:tcW w:type="dxa" w:w="4600"/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Design:</w:t>
            </w:r>
            <w:r>
              <w:rPr>
                <w:rFonts w:ascii="Calibri" w:cs="Calibri" w:eastAsia="Calibri" w:hAnsi="Calibri"/>
                <w:sz w:val="16"/>
                <w:szCs w:val="16"/>
              </w:rPr>
              <w:t xml:space="preserve"> Frictionless download. No email wall, no form, one click.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Content:</w:t>
            </w:r>
            <w:r>
              <w:rPr>
                <w:rFonts w:ascii="Calibri" w:cs="Calibri" w:eastAsia="Calibri" w:hAnsi="Calibri"/>
                <w:sz w:val="16"/>
                <w:szCs w:val="16"/>
              </w:rPr>
              <w:t xml:space="preserve"> Ship a filled-in example alongside the blank template. A blank template is intimidating and gets abandoned.</w:t>
            </w:r>
          </w:p>
        </w:tc>
        <w:tc>
          <w:tcPr>
            <w:tcW w:type="dxa" w:w="2700"/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More than 30% of designers reaching the practice cluster download the materials. (F)</w:t>
            </w:r>
          </w:p>
        </w:tc>
        <w:tc>
          <w:tcPr>
            <w:tcW w:type="dxa" w:w="1600"/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>DO NOT GATE. Ranks well above the email capture (task 13); gating inverts the force-rank and contradicts task 13’s required "worthwhile" emotion.</w:t>
            </w:r>
          </w:p>
        </w:tc>
      </w:tr>
      <w:tr>
        <w:trPr>
          <w:cantSplit/>
          <w:cantSplit/>
        </w:trPr>
        <w:tc>
          <w:tcPr>
            <w:tcW w:type="dxa" w:w="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>8</w:t>
            </w:r>
          </w:p>
        </w:tc>
        <w:tc>
          <w:tcPr>
            <w:tcW w:type="dxa" w:w="2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[UD] </w:t>
            </w:r>
            <w:r>
              <w:rPr>
                <w:rFonts w:ascii="Calibri" w:cs="Calibri" w:eastAsia="Calibri" w:hAnsi="Calibri"/>
                <w:sz w:val="16"/>
                <w:szCs w:val="16"/>
              </w:rPr>
              <w:t xml:space="preserve">Practice new techniques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66666"/>
                <w:sz w:val="14"/>
                <w:szCs w:val="14"/>
              </w:rPr>
              <w:t xml:space="preserve">Cluster C — The deliverable &amp; designer practice</w:t>
            </w:r>
          </w:p>
        </w:tc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Apprehensive. Must leave confident.</w:t>
            </w:r>
          </w:p>
        </w:tc>
        <w:tc>
          <w:tcPr>
            <w:tcW w:type="dxa" w:w="4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Design:</w:t>
            </w:r>
            <w:r>
              <w:rPr>
                <w:rFonts w:ascii="Calibri" w:cs="Calibri" w:eastAsia="Calibri" w:hAnsi="Calibri"/>
                <w:sz w:val="16"/>
                <w:szCs w:val="16"/>
              </w:rPr>
              <w:t xml:space="preserve"> A guided worked example completed with their own hands — a small interactive exercise, or a copy-paste prompt they run against their own product.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Content:</w:t>
            </w:r>
            <w:r>
              <w:rPr>
                <w:rFonts w:ascii="Calibri" w:cs="Calibri" w:eastAsia="Calibri" w:hAnsi="Calibri"/>
                <w:sz w:val="16"/>
                <w:szCs w:val="16"/>
              </w:rPr>
              <w:t xml:space="preserve"> Make the first attempt small and safe. Confidence comes from one completed rep, not from reading.</w:t>
            </w:r>
          </w:p>
        </w:tc>
        <w:tc>
          <w:tcPr>
            <w:tcW w:type="dxa" w:w="27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More than 20% of designers who start the exercise complete it. (F)</w:t>
            </w:r>
          </w:p>
        </w:tc>
        <w:tc>
          <w:tcPr>
            <w:tcW w:type="dxa" w:w="1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>Practice reveals the limits of self-service — the natural place to offer more. Workshops are held for a later version, so the talk is the current ask.</w:t>
            </w:r>
          </w:p>
        </w:tc>
      </w:tr>
      <w:tr>
        <w:trPr>
          <w:cantSplit/>
          <w:cantSplit/>
        </w:trPr>
        <w:tc>
          <w:tcPr>
            <w:tcW w:type="dxa" w:w="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>9</w:t>
            </w:r>
          </w:p>
        </w:tc>
        <w:tc>
          <w:tcPr>
            <w:tcW w:type="dxa" w:w="2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[BD] </w:t>
            </w:r>
            <w:r>
              <w:rPr>
                <w:rFonts w:ascii="Calibri" w:cs="Calibri" w:eastAsia="Calibri" w:hAnsi="Calibri"/>
                <w:sz w:val="16"/>
                <w:szCs w:val="16"/>
              </w:rPr>
              <w:t xml:space="preserve">Invite me to do talks (designer)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66666"/>
                <w:sz w:val="14"/>
                <w:szCs w:val="14"/>
              </w:rPr>
              <w:t xml:space="preserve">Cluster E — High-value conversion</w:t>
            </w:r>
          </w:p>
        </w:tc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No arriving emotion. Must feel confident that Richard can help them.</w:t>
            </w:r>
          </w:p>
        </w:tc>
        <w:tc>
          <w:tcPr>
            <w:tcW w:type="dxa" w:w="4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Design:</w:t>
            </w:r>
            <w:r>
              <w:rPr>
                <w:rFonts w:ascii="Calibri" w:cs="Calibri" w:eastAsia="Calibri" w:hAnsi="Calibri"/>
                <w:sz w:val="16"/>
                <w:szCs w:val="16"/>
              </w:rPr>
              <w:t xml:space="preserve"> Contextual, following the designer practice block. Lighter, and built for forwarding rather than booking.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Content:</w:t>
            </w:r>
            <w:r>
              <w:rPr>
                <w:rFonts w:ascii="Calibri" w:cs="Calibri" w:eastAsia="Calibri" w:hAnsi="Calibri"/>
                <w:sz w:val="16"/>
                <w:szCs w:val="16"/>
              </w:rPr>
              <w:t xml:space="preserve"> Give them the words to pitch it internally — a short, copyable blurb they can send to their own leader.</w:t>
            </w:r>
          </w:p>
        </w:tc>
        <w:tc>
          <w:tcPr>
            <w:tcW w:type="dxa" w:w="27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More than 1% of designers completing the practice block use the forward/share-internally action. (F)</w:t>
            </w:r>
          </w:p>
        </w:tc>
        <w:tc>
          <w:tcPr>
            <w:tcW w:type="dxa" w:w="1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A designer is an influencer, not the buyer. The real conversion path is designer → their leader, so design for the forward.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>STATUS (24 Jul 2026): The talk ask is a single shared ‘register interest’ section in this version; the forward-this variant was retired.</w:t>
            </w:r>
          </w:p>
        </w:tc>
      </w:tr>
      <w:tr>
        <w:trPr>
          <w:cantSplit/>
          <w:cantSplit/>
        </w:trPr>
        <w:tc>
          <w:tcPr>
            <w:tcW w:type="dxa" w:w="500"/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9A9A9A"/>
                <w:sz w:val="16"/>
                <w:szCs w:val="16"/>
              </w:rPr>
              <w:t>10</w:t>
            </w:r>
          </w:p>
        </w:tc>
        <w:tc>
          <w:tcPr>
            <w:tcW w:type="dxa" w:w="2600"/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9A9A9A"/>
                <w:sz w:val="16"/>
                <w:szCs w:val="16"/>
              </w:rPr>
              <w:t xml:space="preserve">[BD] </w:t>
            </w:r>
            <w:r>
              <w:rPr>
                <w:rFonts w:ascii="Calibri" w:cs="Calibri" w:eastAsia="Calibri" w:hAnsi="Calibri"/>
                <w:color w:val="9A9A9A"/>
                <w:sz w:val="16"/>
                <w:szCs w:val="16"/>
              </w:rPr>
              <w:t xml:space="preserve">Sign up / register interest in workshops (designer)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9A9A9A"/>
                <w:sz w:val="14"/>
                <w:szCs w:val="14"/>
              </w:rPr>
              <w:t xml:space="preserve">Cluster E — High-value conversion</w:t>
            </w:r>
          </w:p>
        </w:tc>
        <w:tc>
          <w:tcPr>
            <w:tcW w:type="dxa" w:w="2400"/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9A9A9A"/>
                <w:sz w:val="16"/>
                <w:szCs w:val="16"/>
              </w:rPr>
              <w:t xml:space="preserve">No arriving emotion. Must feel confident it will be worth their time and of practical use.</w:t>
            </w:r>
          </w:p>
        </w:tc>
        <w:tc>
          <w:tcPr>
            <w:tcW w:type="dxa" w:w="4600"/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9A9A9A"/>
                <w:sz w:val="16"/>
                <w:szCs w:val="16"/>
              </w:rPr>
              <w:t xml:space="preserve">Design:</w:t>
            </w:r>
            <w:r>
              <w:rPr>
                <w:rFonts w:ascii="Calibri" w:cs="Calibri" w:eastAsia="Calibri" w:hAnsi="Calibri"/>
                <w:color w:val="9A9A9A"/>
                <w:sz w:val="16"/>
                <w:szCs w:val="16"/>
              </w:rPr>
              <w:t xml:space="preserve"> Register interest rather than buy — no dates or payment required. Single field, low commitment.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9A9A9A"/>
                <w:sz w:val="16"/>
                <w:szCs w:val="16"/>
              </w:rPr>
              <w:t xml:space="preserve">Content:</w:t>
            </w:r>
            <w:r>
              <w:rPr>
                <w:rFonts w:ascii="Calibri" w:cs="Calibri" w:eastAsia="Calibri" w:hAnsi="Calibri"/>
                <w:color w:val="9A9A9A"/>
                <w:sz w:val="16"/>
                <w:szCs w:val="16"/>
              </w:rPr>
              <w:t xml:space="preserve"> Lead with the practical takeaway: what they will be able to do afterwards that they cannot do now.</w:t>
            </w:r>
          </w:p>
        </w:tc>
        <w:tc>
          <w:tcPr>
            <w:tcW w:type="dxa" w:w="2700"/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9A9A9A"/>
                <w:sz w:val="16"/>
                <w:szCs w:val="16"/>
              </w:rPr>
              <w:t xml:space="preserve">Registered-interest list reaches a viable cohort size for a first open-enrolment workshop. (F)</w:t>
            </w:r>
          </w:p>
        </w:tc>
        <w:tc>
          <w:tcPr>
            <w:tcW w:type="dxa" w:w="1600"/>
            <w:shd w:fill="F2F2F2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9A9A9A"/>
                <w:sz w:val="15"/>
                <w:szCs w:val="15"/>
              </w:rPr>
              <w:t xml:space="preserve">Doubles as the list-building mechanism for a future open-enrolment workshop.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9A9A9A"/>
                <w:sz w:val="15"/>
                <w:szCs w:val="15"/>
              </w:rPr>
              <w:t>STATUS (24 Jul 2026): HELD — kept but not designed for in this version (workshops deferred).</w:t>
            </w:r>
          </w:p>
        </w:tc>
      </w:tr>
      <w:tr>
        <w:trPr>
          <w:cantSplit/>
          <w:cantSplit/>
        </w:trPr>
        <w:tc>
          <w:tcPr>
            <w:tcW w:type="dxa" w:w="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>11</w:t>
            </w:r>
          </w:p>
        </w:tc>
        <w:tc>
          <w:tcPr>
            <w:tcW w:type="dxa" w:w="2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[BD] </w:t>
            </w:r>
            <w:r>
              <w:rPr>
                <w:rFonts w:ascii="Calibri" w:cs="Calibri" w:eastAsia="Calibri" w:hAnsi="Calibri"/>
                <w:sz w:val="16"/>
                <w:szCs w:val="16"/>
              </w:rPr>
              <w:t xml:space="preserve">Give feedback (designer)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66666"/>
                <w:sz w:val="14"/>
                <w:szCs w:val="14"/>
              </w:rPr>
              <w:t xml:space="preserve">Cluster F — Advocacy &amp; feedback</w:t>
            </w:r>
          </w:p>
        </w:tc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No arriving emotion. Must feel included.</w:t>
            </w:r>
          </w:p>
        </w:tc>
        <w:tc>
          <w:tcPr>
            <w:tcW w:type="dxa" w:w="4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Design:</w:t>
            </w:r>
            <w:r>
              <w:rPr>
                <w:rFonts w:ascii="Calibri" w:cs="Calibri" w:eastAsia="Calibri" w:hAnsi="Calibri"/>
                <w:sz w:val="16"/>
                <w:szCs w:val="16"/>
              </w:rPr>
              <w:t xml:space="preserve"> Lightweight and inline — a per-section "where does this break?" prompt rather than a single global contact form.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Content:</w:t>
            </w:r>
            <w:r>
              <w:rPr>
                <w:rFonts w:ascii="Calibri" w:cs="Calibri" w:eastAsia="Calibri" w:hAnsi="Calibri"/>
                <w:sz w:val="16"/>
                <w:szCs w:val="16"/>
              </w:rPr>
              <w:t xml:space="preserve"> Frame as co-development: the framework is still evolving. That is the actual mechanism of inclusion, and it has the advantage of being true.</w:t>
            </w:r>
          </w:p>
        </w:tc>
        <w:tc>
          <w:tcPr>
            <w:tcW w:type="dxa" w:w="27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More than 3% of designers completing a section leave feedback. (F)</w:t>
            </w:r>
          </w:p>
        </w:tc>
        <w:tc>
          <w:tcPr>
            <w:tcW w:type="dxa" w:w="1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Feedback doubles as Richard’s research input for the keynote and the commercialisation work.</w:t>
            </w:r>
          </w:p>
        </w:tc>
      </w:tr>
      <w:tr>
        <w:trPr>
          <w:cantSplit/>
          <w:cantSplit/>
        </w:trPr>
        <w:tc>
          <w:tcPr>
            <w:tcW w:type="dxa" w:w="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9A9A9A"/>
                <w:sz w:val="16"/>
                <w:szCs w:val="16"/>
              </w:rPr>
              <w:t>12</w:t>
            </w:r>
          </w:p>
        </w:tc>
        <w:tc>
          <w:tcPr>
            <w:tcW w:type="dxa" w:w="2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9A9A9A"/>
                <w:sz w:val="16"/>
                <w:szCs w:val="16"/>
              </w:rPr>
              <w:t xml:space="preserve">[BD] </w:t>
            </w:r>
            <w:r>
              <w:rPr>
                <w:rFonts w:ascii="Calibri" w:cs="Calibri" w:eastAsia="Calibri" w:hAnsi="Calibri"/>
                <w:color w:val="9A9A9A"/>
                <w:sz w:val="16"/>
                <w:szCs w:val="16"/>
              </w:rPr>
              <w:t xml:space="preserve">Tell others about the approach (designer)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9A9A9A"/>
                <w:sz w:val="14"/>
                <w:szCs w:val="14"/>
              </w:rPr>
              <w:t xml:space="preserve">Cluster F — Advocacy &amp; feedback</w:t>
            </w:r>
          </w:p>
        </w:tc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9A9A9A"/>
                <w:sz w:val="16"/>
                <w:szCs w:val="16"/>
              </w:rPr>
              <w:t xml:space="preserve">No arriving emotion. Should feel that sharing makes them look good — that the person they share with values them and their opinions.</w:t>
            </w:r>
          </w:p>
        </w:tc>
        <w:tc>
          <w:tcPr>
            <w:tcW w:type="dxa" w:w="4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9A9A9A"/>
                <w:sz w:val="16"/>
                <w:szCs w:val="16"/>
              </w:rPr>
              <w:t xml:space="preserve">Design:</w:t>
            </w:r>
            <w:r>
              <w:rPr>
                <w:rFonts w:ascii="Calibri" w:cs="Calibri" w:eastAsia="Calibri" w:hAnsi="Calibri"/>
                <w:color w:val="9A9A9A"/>
                <w:sz w:val="16"/>
                <w:szCs w:val="16"/>
              </w:rPr>
              <w:t xml:space="preserve"> Make the shareable unit the artefact — the four-layer diagram, the ratio chart, the side-by-side demo — not the homepage URL. Pre-built share cards for each.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9A9A9A"/>
                <w:sz w:val="16"/>
                <w:szCs w:val="16"/>
              </w:rPr>
              <w:t xml:space="preserve">Content:</w:t>
            </w:r>
            <w:r>
              <w:rPr>
                <w:rFonts w:ascii="Calibri" w:cs="Calibri" w:eastAsia="Calibri" w:hAnsi="Calibri"/>
                <w:color w:val="9A9A9A"/>
                <w:sz w:val="16"/>
                <w:szCs w:val="16"/>
              </w:rPr>
              <w:t xml:space="preserve"> Share copy should make the sharer sound smart, not promote Richard. People share what signals their own taste and insight.</w:t>
            </w:r>
          </w:p>
        </w:tc>
        <w:tc>
          <w:tcPr>
            <w:tcW w:type="dxa" w:w="27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9A9A9A"/>
                <w:sz w:val="16"/>
                <w:szCs w:val="16"/>
              </w:rPr>
              <w:t xml:space="preserve">More than 7% of designers reaching the practice cluster use a share action. (threshold borrowed from the Petstore "tell a friend" benchmark) (F)</w:t>
            </w:r>
          </w:p>
        </w:tc>
        <w:tc>
          <w:tcPr>
            <w:tcW w:type="dxa" w:w="1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9A9A9A"/>
                <w:sz w:val="15"/>
                <w:szCs w:val="15"/>
              </w:rPr>
              <w:t xml:space="preserve">Social currency is the mechanism. Optimising this directly for Richard’s visibility will suppress the sharing.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9A9A9A"/>
                <w:sz w:val="15"/>
                <w:szCs w:val="15"/>
              </w:rPr>
              <w:t>STATUS (24 Jul 2026): HELD — the ‘Pass it on’ share block is commented out, kept for a later version.</w:t>
            </w:r>
          </w:p>
        </w:tc>
      </w:tr>
      <w:tr>
        <w:trPr>
          <w:cantSplit/>
          <w:cantSplit/>
        </w:trPr>
        <w:tc>
          <w:tcPr>
            <w:tcW w:type="dxa" w:w="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>13</w:t>
            </w:r>
          </w:p>
        </w:tc>
        <w:tc>
          <w:tcPr>
            <w:tcW w:type="dxa" w:w="2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[BD] </w:t>
            </w:r>
            <w:r>
              <w:rPr>
                <w:rFonts w:ascii="Calibri" w:cs="Calibri" w:eastAsia="Calibri" w:hAnsi="Calibri"/>
                <w:sz w:val="16"/>
                <w:szCs w:val="16"/>
              </w:rPr>
              <w:t xml:space="preserve">Give me their email address so I can market to them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66666"/>
                <w:sz w:val="14"/>
                <w:szCs w:val="14"/>
              </w:rPr>
              <w:t xml:space="preserve">Cluster F — Advocacy &amp; feedback</w:t>
            </w:r>
          </w:p>
        </w:tc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No arriving emotion. Must feel that this is going to be worthwhile.</w:t>
            </w:r>
          </w:p>
        </w:tc>
        <w:tc>
          <w:tcPr>
            <w:tcW w:type="dxa" w:w="4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Design:</w:t>
            </w:r>
            <w:r>
              <w:rPr>
                <w:rFonts w:ascii="Calibri" w:cs="Calibri" w:eastAsia="Calibri" w:hAnsi="Calibri"/>
                <w:sz w:val="16"/>
                <w:szCs w:val="16"/>
              </w:rPr>
              <w:t xml:space="preserve"> The email capture is the shared talk section’s "Register interest" field (mapped 9 &amp; 13); the value exchange is "I’ll follow up with talk formats and dates." Never a wall in front of the templates (task 7).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Content:</w:t>
            </w:r>
            <w:r>
              <w:rPr>
                <w:rFonts w:ascii="Calibri" w:cs="Calibri" w:eastAsia="Calibri" w:hAnsi="Calibri"/>
                <w:sz w:val="16"/>
                <w:szCs w:val="16"/>
              </w:rPr>
              <w:t xml:space="preserve"> State exactly what they will receive and how often. Vagueness reads as a trap and suppresses opt-in.</w:t>
            </w:r>
          </w:p>
        </w:tc>
        <w:tc>
          <w:tcPr>
            <w:tcW w:type="dxa" w:w="27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Unsubscribe rate below 2% — the honest test of whether "worthwhile" was actually delivered. (F)</w:t>
            </w:r>
          </w:p>
        </w:tc>
        <w:tc>
          <w:tcPr>
            <w:tcW w:type="dxa" w:w="1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Ranked last deliberately. Opt-in volume is the vanity measure; unsubscribe rate is the real one.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>STATUS (24 Jul 2026): The email capture is now the shared talk section’s ‘Register interest’ field (mapped 9 &amp; 13) — no separate email wall.</w:t>
            </w:r>
          </w:p>
        </w:tc>
      </w:tr>
      <w:tr>
        <w:trPr>
          <w:cantSplit/>
          <w:cantSplit/>
        </w:trPr>
        <w:tc>
          <w:tcPr>
            <w:tcW w:type="dxa" w:w="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6"/>
                <w:szCs w:val="16"/>
              </w:rPr>
              <w:t>14</w:t>
            </w:r>
          </w:p>
        </w:tc>
        <w:tc>
          <w:tcPr>
            <w:tcW w:type="dxa" w:w="2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>[BD] Know who created this and trust they’ve done the work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66666"/>
                <w:sz w:val="14"/>
                <w:szCs w:val="14"/>
              </w:rPr>
              <w:t>Cluster F — Advocacy &amp; feedback</w:t>
            </w:r>
          </w:p>
        </w:tc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>No arriving emotion (business-driven; nobody arrives to vet the author).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>Must leave confident the person behind the technique has actually run design teams, not just theorised it.</w:t>
            </w:r>
          </w:p>
        </w:tc>
        <w:tc>
          <w:tcPr>
            <w:tcW w:type="dxa" w:w="4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Design: </w:t>
            </w:r>
            <w:r>
              <w:rPr>
                <w:rFonts w:ascii="Calibri" w:cs="Calibri" w:eastAsia="Calibri" w:hAnsi="Calibri"/>
                <w:sz w:val="16"/>
                <w:szCs w:val="16"/>
              </w:rPr>
              <w:t>The footer bio does this job — operator credibility at the foot of the page (Head of Design at Verizon; CDO and design leadership at Vanguard, USAA and Capital One), reinforced by the ‘About this page’ self-application.</w:t>
            </w:r>
          </w:p>
          <w:p>
            <w:r>
              <w:rPr>
                <w:rFonts w:ascii="Calibri" w:cs="Calibri" w:eastAsia="Calibri" w:hAnsi="Calibri"/>
                <w:b/>
                <w:bCs/>
                <w:sz w:val="16"/>
                <w:szCs w:val="16"/>
              </w:rPr>
              <w:t xml:space="preserve">Content: </w:t>
            </w:r>
            <w:r>
              <w:rPr>
                <w:rFonts w:ascii="Calibri" w:cs="Calibri" w:eastAsia="Calibri" w:hAnsi="Calibri"/>
                <w:sz w:val="16"/>
                <w:szCs w:val="16"/>
              </w:rPr>
              <w:t>State that the method was developed 15+ years ago at Vanguard and sharpened against real teams and products — evidence of having done the work, not claims about it.</w:t>
            </w:r>
          </w:p>
        </w:tc>
        <w:tc>
          <w:tcPr>
            <w:tcW w:type="dxa" w:w="27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>Hypothesis; no baseline yet. (F)</w:t>
            </w:r>
          </w:p>
        </w:tc>
        <w:tc>
          <w:tcPr>
            <w:tcW w:type="dxa" w:w="1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>Added 24 Jul 2026. Business-driven, ranked last. Nobody visits to vet the author, but that trust underwrites acting on any of it.</w:t>
            </w:r>
          </w:p>
        </w:tc>
      </w:tr>
    </w:tbl>
    <w:sectPr>
      <w:pgSz w:w="15840" w:h="12240" w:orient="landscape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2026-07-20T19:45:48.409Z</dcterms:created>
  <dcterms:modified xsi:type="dcterms:W3CDTF">2026-07-20T19:45:48.409Z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